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widowControl w:val="0"/>
        <w:shd w:val="clear" w:color="auto" w:fill="FFFFFF"/>
        <w:wordWrap/>
        <w:adjustRightInd/>
        <w:snapToGrid/>
        <w:spacing w:before="74" w:beforeAutospacing="0" w:after="74" w:afterAutospacing="0" w:line="64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sz w:val="44"/>
          <w:szCs w:val="44"/>
          <w:lang w:val="en-US" w:eastAsia="zh-CN"/>
        </w:rPr>
      </w:pPr>
      <w:r>
        <w:rPr>
          <w:rFonts w:ascii="宋体" w:hAnsi="Times New Roman" w:eastAsia="宋体" w:cs="Times New Roman"/>
          <w:kern w:val="2"/>
          <w:sz w:val="44"/>
          <w:szCs w:val="32"/>
          <w:lang w:val="en-US" w:eastAsia="zh-CN" w:bidi="ar-SA"/>
        </w:rPr>
        <w:pict>
          <v:line id="直线 11" o:spid="_x0000_s1027" style="position:absolute;left:0;margin-left:-16.45pt;margin-top:10.45pt;height:0.05pt;width:454.8pt;rotation:0f;z-index:251659264;" o:ole="f" fillcolor="#FFFFFF" filled="f" o:preferrelative="t" stroked="t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宋体" w:hAnsi="Times New Roman" w:eastAsia="宋体" w:cs="Times New Roman"/>
          <w:kern w:val="2"/>
          <w:sz w:val="44"/>
          <w:szCs w:val="32"/>
          <w:lang w:val="en-US" w:eastAsia="zh-CN" w:bidi="ar-SA"/>
        </w:rPr>
        <w:pict>
          <v:line id="直线 12" o:spid="_x0000_s1028" style="position:absolute;left:0;margin-left:-17.05pt;margin-top:7.5pt;height:0.05pt;width:457.2pt;rotation:0f;z-index:251660288;" o:ole="f" fillcolor="#FFFFFF" filled="f" o:preferrelative="t" stroked="t" coordsize="21600,21600">
            <v:fill on="f" color2="#FFFFFF" focus="0%"/>
            <v:stroke weight="1.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宋体" w:hAnsi="Times New Roman" w:eastAsia="宋体" w:cs="Times New Roman"/>
          <w:kern w:val="2"/>
          <w:sz w:val="44"/>
          <w:szCs w:val="32"/>
          <w:lang w:val="en-US" w:eastAsia="zh-CN" w:bidi="ar-SA"/>
        </w:rPr>
        <w:pict>
          <v:shape id="文本框 10" o:spid="_x0000_s1029" type="#_x0000_t202" style="position:absolute;left:0;margin-left:-20.65pt;margin-top:-62.75pt;height:90pt;width:464.4pt;rotation:0f;z-index:25165824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7"/>
                    <w:widowControl w:val="0"/>
                    <w:shd w:val="clear" w:color="auto" w:fill="FFFFFF"/>
                    <w:wordWrap/>
                    <w:adjustRightInd/>
                    <w:snapToGrid/>
                    <w:spacing w:before="74" w:beforeAutospacing="0" w:after="74" w:afterAutospacing="0" w:line="240" w:lineRule="auto"/>
                    <w:ind w:left="-320" w:leftChars="-100" w:right="0" w:firstLine="314" w:firstLineChars="41"/>
                    <w:jc w:val="distribute"/>
                    <w:textAlignment w:val="auto"/>
                    <w:outlineLvl w:val="9"/>
                    <w:rPr>
                      <w:rFonts w:hint="eastAsia" w:ascii="方正小标宋_GBK" w:hAnsi="方正小标宋_GBK" w:eastAsia="方正小标宋_GBK" w:cs="方正小标宋_GBK"/>
                      <w:b w:val="0"/>
                      <w:bCs w:val="0"/>
                      <w:color w:val="FF0000"/>
                      <w:spacing w:val="0"/>
                      <w:w w:val="80"/>
                      <w:sz w:val="96"/>
                      <w:szCs w:val="96"/>
                      <w:lang w:val="en-US" w:eastAsia="zh-CN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b w:val="0"/>
                      <w:bCs w:val="0"/>
                      <w:color w:val="FF0000"/>
                      <w:spacing w:val="0"/>
                      <w:w w:val="80"/>
                      <w:sz w:val="96"/>
                      <w:szCs w:val="96"/>
                      <w:lang w:val="en-US" w:eastAsia="zh-CN"/>
                    </w:rPr>
                    <w:t>秦皇岛市工业和信息化局</w:t>
                  </w:r>
                </w:p>
                <w:p/>
              </w:txbxContent>
            </v:textbox>
          </v:shape>
        </w:pict>
      </w:r>
    </w:p>
    <w:p>
      <w:pPr>
        <w:pStyle w:val="7"/>
        <w:widowControl w:val="0"/>
        <w:shd w:val="clear" w:color="auto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/>
        </w:rPr>
        <w:t>秦皇岛市工业和信息化局</w:t>
      </w:r>
    </w:p>
    <w:p>
      <w:pPr>
        <w:pStyle w:val="7"/>
        <w:widowControl w:val="0"/>
        <w:shd w:val="clear" w:color="auto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666666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lang w:val="en-US" w:eastAsia="zh-CN"/>
        </w:rPr>
        <w:t>2020年政府信息公开工作报告</w:t>
      </w:r>
    </w:p>
    <w:bookmarkEnd w:id="0"/>
    <w:p>
      <w:pPr>
        <w:pStyle w:val="7"/>
        <w:widowControl w:val="0"/>
        <w:shd w:val="clear" w:color="auto" w:fill="FFFFFF"/>
        <w:wordWrap/>
        <w:adjustRightInd/>
        <w:snapToGrid/>
        <w:spacing w:before="74" w:beforeAutospacing="0" w:after="74" w:afterAutospacing="0" w:line="60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spacing w:val="0"/>
          <w:sz w:val="32"/>
          <w:szCs w:val="32"/>
          <w:lang w:eastAsia="zh-CN"/>
        </w:rPr>
      </w:pPr>
    </w:p>
    <w:p>
      <w:pPr>
        <w:pStyle w:val="7"/>
        <w:widowControl/>
        <w:spacing w:before="0" w:beforeAutospacing="0" w:after="0" w:afterAutospacing="0" w:line="560" w:lineRule="exact"/>
        <w:ind w:left="0" w:right="0" w:firstLine="482"/>
        <w:rPr>
          <w:rFonts w:hint="eastAsia" w:ascii="仿宋" w:hAnsi="仿宋" w:eastAsia="仿宋" w:cs="仿宋"/>
          <w:color w:val="666666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666666"/>
          <w:spacing w:val="0"/>
          <w:sz w:val="32"/>
          <w:szCs w:val="32"/>
        </w:rPr>
        <w:t>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根据《条例》要求，20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年我局进一步加强政府信息公开工作，丰富了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网站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信息查阅信息资料。截至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年底，市工信局政府信息公开工作运行正常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现就我局信息公开工作报告如下：</w:t>
      </w:r>
    </w:p>
    <w:p>
      <w:pPr>
        <w:widowControl w:val="0"/>
        <w:wordWrap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强化重点领域信息公开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网站上设置重点领域信息等专栏，及时发布政策法规、工作动态等信息，网上信息动态及时更新，确保信息准确和充实，让更多市场主体知晓政策、享受实惠。2020年，我局围绕重点公开内容狠抓各项公开事项的公开。一是疫情防控工作，强化政策引领，针对今年疫情防控期间的工业企业复工复产问题，在网站首页设立了复工复产相关政策解读的飘动窗口，方便企业及时便捷的了解疫情防控和复工复产的相关政策；二是狠抓精准扶贫公开，及时将脱贫攻坚的成果信息进行公开；三是推进财政预决算资金公开，严格按照财政部门要求，对机关、局属事业单位2020年财政决算、2020年财政预算进行了公开；四是落实建议和提案办理公开，及时公开办理人大建议、政协提案落实信息16条。</w:t>
      </w:r>
    </w:p>
    <w:p>
      <w:pPr>
        <w:widowControl w:val="0"/>
        <w:wordWrap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二、做好政策宣传与解读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网站上设置政策解读等专栏，及时发布政策法规、工作动态等信息，网上信息动态及时更新，今年来对各项政策进行细化解读公开政策及政策解读信息13条，确保信息准确和充实，并且设置与省政策发布解读平台、省工信厅政务服务平台的链接，让更多市场主体知晓政策、享受实惠，让数据多跑路，让企业少跑腿方便企业信息沟通和查询，更提高了项目申报、审批的效率。</w:t>
      </w:r>
    </w:p>
    <w:p>
      <w:pPr>
        <w:widowControl w:val="0"/>
        <w:numPr>
          <w:numId w:val="0"/>
        </w:numPr>
        <w:wordWrap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070000" w:fill="FFFFFF"/>
          <w:lang w:eastAsia="zh-CN"/>
        </w:rPr>
        <w:t>三、依法规范办理依法申请公开工作情况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严格执行国家、省市有关信息公开相关要求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sz w:val="32"/>
          <w:szCs w:val="32"/>
        </w:rPr>
        <w:t>做好政府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信息公开工作。进一步建立健全动态调整机制，依法依规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信息公开内容审查，坚决避免信息泄密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影响社会稳定的问题发生。为全面推进政务公开工作提供了保障，有力推动了行政权力公开透明运行，始终处于社会公众监督的“阳光”之下，有效提升了政府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的公信力。今年，我局没有收到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公民、法人或其他组织依申请公开答复情况以及举报、投诉、行政复议、行政诉讼等。</w:t>
      </w:r>
    </w:p>
    <w:p>
      <w:pPr>
        <w:widowControl w:val="0"/>
        <w:numPr>
          <w:numId w:val="0"/>
        </w:numPr>
        <w:wordWrap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070000" w:fill="FFFFFF"/>
          <w:lang w:eastAsia="zh-CN"/>
        </w:rPr>
        <w:t>四、打造公开平台，提升政务公开工作效率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针对局门户网站信息承载量少、栏目设置分类不细，不利于群众查阅等问题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针对工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业和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息化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工作特点提出制作方案，并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充分征求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局属单位、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各科室意见建议的基础上，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调整更新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了门户网站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网站页面布局、栏目布局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进行了优化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针对今年疫情防控期间的工业企业复工复产问题，在网站首页设立了复工复产相关政策解读的飘动窗口，方便企业及时便捷的了解政策；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积极与市政府网站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和省工信系统网站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对接，强化了网站互动功能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加大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媒体公开力度，不断推进决策公开、执行公开、管理公开、服务公开、结果公开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；并安排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专人负责统一向市政府网站、局门户网站发布信息。规范了政务公开发布流程，明确各科室信息发布保密审查责任，负责信息发布人员做好信息发布登记，做好网站监测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同时，将局网站各栏目内容保障分解落实到各科室，并提出明确报送更新的时限要求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强化了网站信息报送监督检查，对不积极、不主动、不及时报送网站公开内容的，将进行通报批评，问责处理，确保了政务公开内容的落实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5"/>
        <w:widowControl w:val="0"/>
        <w:wordWrap/>
        <w:spacing w:line="600" w:lineRule="exact"/>
        <w:ind w:firstLine="643"/>
        <w:textAlignment w:val="auto"/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今年以来，依托秦皇岛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市工信局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门户网站发布政务信息3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篇。受理群众依申请信息公开均能严格按照法定时限答复，答复率100%，群众满意率100%。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在市政府信息公开平台共发布各类信息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份，向市档案馆和图书馆报送和移交信息资料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份。</w:t>
      </w:r>
    </w:p>
    <w:p>
      <w:pPr>
        <w:pStyle w:val="7"/>
        <w:widowControl/>
        <w:spacing w:before="0" w:beforeAutospacing="0" w:after="0" w:afterAutospacing="0" w:line="560" w:lineRule="exact"/>
        <w:ind w:left="0" w:right="0" w:firstLine="482"/>
      </w:pPr>
      <w:r>
        <w:rPr>
          <w:rFonts w:hint="eastAsia" w:ascii="黑体" w:eastAsia="黑体" w:cs="黑体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五</w:t>
      </w:r>
      <w:r>
        <w:rPr>
          <w:rFonts w:ascii="黑体" w:hAnsi="Times New Roman" w:eastAsia="黑体" w:cs="黑体"/>
          <w:i w:val="0"/>
          <w:color w:val="000000"/>
          <w:sz w:val="32"/>
          <w:szCs w:val="32"/>
          <w:u w:val="none"/>
          <w:shd w:val="clear" w:color="auto" w:fill="FFFFFF"/>
        </w:rPr>
        <w:t>、主动公开政府信息情况</w:t>
      </w:r>
    </w:p>
    <w:tbl>
      <w:tblPr>
        <w:tblStyle w:val="9"/>
        <w:tblW w:w="8146" w:type="dxa"/>
        <w:jc w:val="center"/>
        <w:tblCellSpacing w:w="0" w:type="dxa"/>
        <w:tblInd w:w="8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81"/>
        <w:gridCol w:w="1271"/>
        <w:gridCol w:w="1881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146" w:type="dxa"/>
            <w:gridSpan w:val="4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311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本年新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 制作数量</w:t>
            </w:r>
          </w:p>
        </w:tc>
        <w:tc>
          <w:tcPr>
            <w:tcW w:w="127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本年新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 公开数量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对外公开总数量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311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　0</w:t>
            </w:r>
          </w:p>
        </w:tc>
        <w:tc>
          <w:tcPr>
            <w:tcW w:w="127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ascii="Segoe UI" w:hAnsi="Segoe UI" w:eastAsia="Segoe UI" w:cs="Times New Roman"/>
                <w:i w:val="0"/>
                <w:color w:val="000000"/>
                <w:kern w:val="0"/>
                <w:sz w:val="3"/>
                <w:szCs w:val="3"/>
                <w:u w:val="none"/>
                <w:lang w:val="en-US" w:eastAsia="zh-CN" w:bidi="ar-SA"/>
              </w:rPr>
              <w:t> 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CellSpacing w:w="0" w:type="dxa"/>
          <w:jc w:val="center"/>
        </w:trPr>
        <w:tc>
          <w:tcPr>
            <w:tcW w:w="311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规范性文件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　2</w:t>
            </w:r>
          </w:p>
        </w:tc>
        <w:tc>
          <w:tcPr>
            <w:tcW w:w="127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8146" w:type="dxa"/>
            <w:gridSpan w:val="4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  <w:jc w:val="center"/>
        </w:trPr>
        <w:tc>
          <w:tcPr>
            <w:tcW w:w="311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上一年项目数量</w:t>
            </w:r>
          </w:p>
        </w:tc>
        <w:tc>
          <w:tcPr>
            <w:tcW w:w="127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本年增/减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处理决定数量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311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0</w:t>
            </w:r>
          </w:p>
        </w:tc>
        <w:tc>
          <w:tcPr>
            <w:tcW w:w="127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11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其他对外管理服务事项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0</w:t>
            </w:r>
          </w:p>
        </w:tc>
        <w:tc>
          <w:tcPr>
            <w:tcW w:w="127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tblCellSpacing w:w="0" w:type="dxa"/>
          <w:jc w:val="center"/>
        </w:trPr>
        <w:tc>
          <w:tcPr>
            <w:tcW w:w="8146" w:type="dxa"/>
            <w:gridSpan w:val="4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  <w:jc w:val="center"/>
        </w:trPr>
        <w:tc>
          <w:tcPr>
            <w:tcW w:w="311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上一年项目数量</w:t>
            </w:r>
          </w:p>
        </w:tc>
        <w:tc>
          <w:tcPr>
            <w:tcW w:w="127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本年增/减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处理决定数量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311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0</w:t>
            </w:r>
          </w:p>
        </w:tc>
        <w:tc>
          <w:tcPr>
            <w:tcW w:w="127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311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0</w:t>
            </w:r>
          </w:p>
        </w:tc>
        <w:tc>
          <w:tcPr>
            <w:tcW w:w="127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8146" w:type="dxa"/>
            <w:gridSpan w:val="4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11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本年增/减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311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0</w:t>
            </w:r>
          </w:p>
        </w:tc>
        <w:tc>
          <w:tcPr>
            <w:tcW w:w="3152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"/>
                <w:szCs w:val="3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8146" w:type="dxa"/>
            <w:gridSpan w:val="4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第二十条第（九）项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311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采购总金额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311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政府集中采购</w:t>
            </w:r>
          </w:p>
        </w:tc>
        <w:tc>
          <w:tcPr>
            <w:tcW w:w="18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　0</w:t>
            </w:r>
          </w:p>
        </w:tc>
        <w:tc>
          <w:tcPr>
            <w:tcW w:w="3152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"/>
                <w:szCs w:val="3"/>
                <w:u w:val="none"/>
                <w:lang w:val="en-US" w:eastAsia="zh-CN" w:bidi="ar-SA"/>
              </w:rPr>
              <w:t> </w:t>
            </w:r>
          </w:p>
        </w:tc>
      </w:tr>
    </w:tbl>
    <w:p>
      <w:pPr>
        <w:pStyle w:val="7"/>
        <w:widowControl/>
        <w:spacing w:before="0" w:beforeAutospacing="0" w:after="0" w:afterAutospacing="0"/>
        <w:ind w:left="0" w:right="0" w:firstLine="480"/>
      </w:pPr>
      <w:r>
        <w:rPr>
          <w:rFonts w:hint="eastAsia" w:ascii="黑体" w:hAnsi="Times New Roman" w:eastAsia="黑体" w:cs="黑体"/>
          <w:i w:val="0"/>
          <w:color w:val="000000"/>
          <w:sz w:val="32"/>
          <w:szCs w:val="32"/>
          <w:u w:val="none"/>
          <w:shd w:val="clear" w:color="auto" w:fill="FFFFFF"/>
          <w:lang w:val="en-US"/>
        </w:rPr>
        <w:t> </w:t>
      </w:r>
    </w:p>
    <w:p>
      <w:pPr>
        <w:pStyle w:val="7"/>
        <w:widowControl/>
        <w:spacing w:before="0" w:beforeAutospacing="0" w:after="0" w:afterAutospacing="0" w:line="560" w:lineRule="exact"/>
        <w:ind w:left="0" w:right="0" w:firstLine="482"/>
      </w:pPr>
      <w:r>
        <w:rPr>
          <w:rFonts w:hint="eastAsia" w:ascii="黑体" w:hAnsi="Times New Roman" w:eastAsia="黑体" w:cs="黑体"/>
          <w:i w:val="0"/>
          <w:color w:val="000000"/>
          <w:sz w:val="32"/>
          <w:szCs w:val="32"/>
          <w:u w:val="none"/>
          <w:shd w:val="clear" w:color="auto" w:fill="FFFFFF"/>
        </w:rPr>
        <w:t>收到和处理政府信息公开申请情况</w:t>
      </w:r>
    </w:p>
    <w:tbl>
      <w:tblPr>
        <w:tblStyle w:val="9"/>
        <w:tblW w:w="8331" w:type="dxa"/>
        <w:jc w:val="center"/>
        <w:tblCellSpacing w:w="0" w:type="dxa"/>
        <w:tblInd w:w="-12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826"/>
        <w:gridCol w:w="1897"/>
        <w:gridCol w:w="770"/>
        <w:gridCol w:w="693"/>
        <w:gridCol w:w="693"/>
        <w:gridCol w:w="745"/>
        <w:gridCol w:w="887"/>
        <w:gridCol w:w="679"/>
        <w:gridCol w:w="653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120" w:type="dxa"/>
            <w:gridSpan w:val="7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3697" w:type="dxa"/>
            <w:gridSpan w:val="5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653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商业企业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科研机构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社会公益组织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法律服务机构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653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CellSpacing w:w="0" w:type="dxa"/>
          <w:jc w:val="center"/>
        </w:trPr>
        <w:tc>
          <w:tcPr>
            <w:tcW w:w="3211" w:type="dxa"/>
            <w:gridSpan w:val="3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  <w:r>
              <w:rPr>
                <w:rFonts w:hint="eastAsia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  <w:r>
              <w:rPr>
                <w:rFonts w:hint="eastAsia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1" w:type="dxa"/>
            <w:gridSpan w:val="3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723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（二）部分公开（区分处理的，只计这一情形，不计其他情形）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楷体" w:hAnsi="Calibri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11" w:type="dxa"/>
            <w:gridSpan w:val="3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77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9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74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88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7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  <w:tc>
          <w:tcPr>
            <w:tcW w:w="65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 </w:t>
            </w:r>
          </w:p>
        </w:tc>
      </w:tr>
    </w:tbl>
    <w:p>
      <w:pPr>
        <w:pStyle w:val="7"/>
        <w:widowControl/>
        <w:spacing w:before="0" w:beforeAutospacing="0" w:after="0" w:afterAutospacing="0"/>
        <w:ind w:left="0" w:right="0" w:firstLine="480"/>
      </w:pPr>
      <w:r>
        <w:rPr>
          <w:rFonts w:hint="eastAsia" w:ascii="黑体" w:hAnsi="Times New Roman" w:eastAsia="黑体" w:cs="黑体"/>
          <w:i w:val="0"/>
          <w:color w:val="000000"/>
          <w:sz w:val="32"/>
          <w:szCs w:val="32"/>
          <w:u w:val="none"/>
          <w:shd w:val="clear" w:color="auto" w:fill="FFFFFF"/>
          <w:lang w:val="en-US"/>
        </w:rPr>
        <w:t> </w:t>
      </w:r>
    </w:p>
    <w:p>
      <w:pPr>
        <w:pStyle w:val="7"/>
        <w:widowControl/>
        <w:spacing w:before="0" w:beforeAutospacing="0" w:after="0" w:afterAutospacing="0"/>
        <w:ind w:left="0" w:right="0" w:firstLine="480"/>
      </w:pPr>
    </w:p>
    <w:p>
      <w:pPr>
        <w:pStyle w:val="7"/>
        <w:widowControl/>
        <w:spacing w:before="0" w:beforeAutospacing="0" w:after="0" w:afterAutospacing="0" w:line="560" w:lineRule="exact"/>
        <w:ind w:left="0" w:right="0" w:firstLine="482"/>
      </w:pPr>
      <w:r>
        <w:rPr>
          <w:rFonts w:hint="eastAsia" w:ascii="黑体" w:hAnsi="Times New Roman" w:eastAsia="黑体" w:cs="黑体"/>
          <w:i w:val="0"/>
          <w:color w:val="000000"/>
          <w:sz w:val="32"/>
          <w:szCs w:val="32"/>
          <w:u w:val="none"/>
          <w:shd w:val="clear" w:color="auto" w:fill="FFFFFF"/>
        </w:rPr>
        <w:t>政府信息公开行政复议、行政诉讼情况</w:t>
      </w:r>
    </w:p>
    <w:p>
      <w:pPr>
        <w:pStyle w:val="7"/>
        <w:widowControl/>
        <w:spacing w:before="0" w:beforeAutospacing="0" w:after="0" w:afterAutospacing="0"/>
        <w:ind w:left="0" w:right="0" w:firstLine="480"/>
      </w:pPr>
      <w:r>
        <w:rPr>
          <w:rFonts w:hint="eastAsia" w:ascii="微软雅黑" w:hAnsi="微软雅黑" w:eastAsia="微软雅黑" w:cs="微软雅黑"/>
          <w:i w:val="0"/>
          <w:color w:val="000000"/>
          <w:u w:val="none"/>
          <w:shd w:val="clear" w:color="auto" w:fill="FFFFFF"/>
          <w:lang w:val="en-US"/>
        </w:rPr>
        <w:t> </w:t>
      </w:r>
    </w:p>
    <w:tbl>
      <w:tblPr>
        <w:tblStyle w:val="9"/>
        <w:tblW w:w="8326" w:type="dxa"/>
        <w:jc w:val="center"/>
        <w:tblCellSpacing w:w="0" w:type="dxa"/>
        <w:tblInd w:w="-1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601"/>
        <w:gridCol w:w="508"/>
        <w:gridCol w:w="555"/>
        <w:gridCol w:w="555"/>
        <w:gridCol w:w="555"/>
        <w:gridCol w:w="555"/>
        <w:gridCol w:w="555"/>
        <w:gridCol w:w="555"/>
        <w:gridCol w:w="555"/>
        <w:gridCol w:w="556"/>
        <w:gridCol w:w="556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21" w:type="dxa"/>
            <w:gridSpan w:val="5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5505" w:type="dxa"/>
            <w:gridSpan w:val="10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结果纠正</w:t>
            </w:r>
          </w:p>
        </w:tc>
        <w:tc>
          <w:tcPr>
            <w:tcW w:w="555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其他结果</w:t>
            </w:r>
          </w:p>
        </w:tc>
        <w:tc>
          <w:tcPr>
            <w:tcW w:w="555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尚未审结</w:t>
            </w:r>
          </w:p>
        </w:tc>
        <w:tc>
          <w:tcPr>
            <w:tcW w:w="601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  <w:tc>
          <w:tcPr>
            <w:tcW w:w="2728" w:type="dxa"/>
            <w:gridSpan w:val="5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777" w:type="dxa"/>
            <w:gridSpan w:val="5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结果维持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结果纠正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其他结果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尚未审结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结果维持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结果纠正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其他结果</w:t>
            </w:r>
          </w:p>
        </w:tc>
        <w:tc>
          <w:tcPr>
            <w:tcW w:w="5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尚未审结</w:t>
            </w:r>
          </w:p>
        </w:tc>
        <w:tc>
          <w:tcPr>
            <w:tcW w:w="5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  <w:jc w:val="center"/>
        </w:trPr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60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50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55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5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 </w:t>
            </w:r>
          </w:p>
        </w:tc>
        <w:tc>
          <w:tcPr>
            <w:tcW w:w="5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9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u w:val="none"/>
              </w:rPr>
            </w:pPr>
            <w:r>
              <w:rPr>
                <w:rFonts w:hint="default" w:ascii="Segoe UI" w:hAnsi="Segoe UI" w:eastAsia="Segoe UI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0</w:t>
            </w: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9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u w:val="none"/>
        </w:rPr>
      </w:pPr>
    </w:p>
    <w:p/>
    <w:p>
      <w:pPr>
        <w:widowControl w:val="0"/>
        <w:numPr>
          <w:numId w:val="0"/>
        </w:numPr>
        <w:wordWrap/>
        <w:spacing w:line="600" w:lineRule="exact"/>
        <w:textAlignment w:val="auto"/>
        <w:rPr>
          <w:rFonts w:hint="eastAsia" w:ascii="仿宋" w:hAnsi="仿宋" w:eastAsia="仿宋" w:cs="仿宋"/>
          <w:color w:val="666666"/>
          <w:spacing w:val="0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方正仿宋_GBK"/>
        <w:kern w:val="2"/>
        <w:sz w:val="18"/>
        <w:szCs w:val="32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51D7565"/>
    <w:rsid w:val="0967224B"/>
    <w:rsid w:val="0CD04E93"/>
    <w:rsid w:val="151D7565"/>
    <w:rsid w:val="25B06A40"/>
    <w:rsid w:val="34B80641"/>
    <w:rsid w:val="3E727BD2"/>
    <w:rsid w:val="436E7B9F"/>
    <w:rsid w:val="4A232D1A"/>
    <w:rsid w:val="4C435959"/>
    <w:rsid w:val="521325BD"/>
    <w:rsid w:val="52764F19"/>
    <w:rsid w:val="6F9A281F"/>
    <w:rsid w:val="747A00A6"/>
    <w:rsid w:val="75EE412D"/>
    <w:rsid w:val="7B66483C"/>
    <w:rsid w:val="7C81442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仿宋_GBK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645"/>
    </w:pPr>
    <w:rPr>
      <w:rFonts w:ascii="仿宋_GB2312"/>
      <w:b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200" w:firstLine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2020-12-06T12:37:00Z</dcterms:created>
  <dc:creator>gg</dc:creator>
  <cp:lastModifiedBy>肖起彪</cp:lastModifiedBy>
  <dcterms:modified xsi:type="dcterms:W3CDTF">2023-11-02T02:12:23Z</dcterms:modified>
  <dc:title>秦皇岛市工业和信息化局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