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lang w:val="en-US" w:eastAsia="zh-CN"/>
        </w:rPr>
      </w:pPr>
      <w:r>
        <w:rPr>
          <w:rFonts w:hint="eastAsia" w:ascii="宋体" w:hAnsi="宋体" w:eastAsia="宋体" w:cs="宋体"/>
          <w:sz w:val="44"/>
          <w:lang w:val="en-US" w:eastAsia="zh-CN"/>
        </w:rPr>
        <w:t>2020年部门预算绩效信息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sz w:val="28"/>
          <w:szCs w:val="28"/>
          <w:lang w:val="en-US" w:eastAsia="zh-CN"/>
        </w:rPr>
      </w:pPr>
      <w:bookmarkStart w:id="4" w:name="_GoBack"/>
      <w:bookmarkEnd w:id="4"/>
    </w:p>
    <w:p>
      <w:pPr>
        <w:jc w:val="center"/>
        <w:rPr>
          <w:rFonts w:hint="eastAsia" w:ascii="Times New Roman" w:hAnsi="宋体" w:cs="宋体"/>
          <w:b/>
          <w:sz w:val="44"/>
        </w:rPr>
      </w:pPr>
      <w:r>
        <w:rPr>
          <w:rFonts w:hint="eastAsia" w:ascii="方正小标宋简体" w:hAnsi="方正小标宋_GBK" w:eastAsia="方正小标宋简体" w:cs="方正小标宋_GBK"/>
          <w:sz w:val="32"/>
          <w:szCs w:val="32"/>
        </w:rPr>
        <w:t>第一部分</w:t>
      </w:r>
      <w:bookmarkStart w:id="0" w:name="_Toc29200564"/>
      <w:r>
        <w:rPr>
          <w:rFonts w:hint="eastAsia" w:ascii="方正小标宋简体" w:hAnsi="方正小标宋_GBK" w:eastAsia="方正小标宋简体" w:cs="方正小标宋_GBK"/>
          <w:sz w:val="32"/>
          <w:szCs w:val="32"/>
          <w:lang w:val="en-US" w:eastAsia="zh-CN"/>
        </w:rPr>
        <w:t xml:space="preserve"> </w:t>
      </w:r>
      <w:r>
        <w:rPr>
          <w:rFonts w:hint="eastAsia" w:ascii="方正小标宋简体" w:hAnsi="方正小标宋_GBK" w:eastAsia="方正小标宋简体" w:cs="方正小标宋_GBK"/>
          <w:sz w:val="32"/>
          <w:szCs w:val="32"/>
        </w:rPr>
        <w:t>部门整体绩效目标</w:t>
      </w:r>
      <w:bookmarkEnd w:id="0"/>
    </w:p>
    <w:p>
      <w:pPr>
        <w:spacing w:line="560" w:lineRule="exact"/>
        <w:ind w:firstLine="640" w:firstLineChars="200"/>
        <w:jc w:val="left"/>
        <w:outlineLvl w:val="1"/>
        <w:rPr>
          <w:rFonts w:hint="eastAsia" w:ascii="宋体" w:hAnsi="宋体" w:eastAsia="宋体" w:cs="宋体"/>
          <w:sz w:val="32"/>
          <w:szCs w:val="32"/>
        </w:rPr>
      </w:pPr>
      <w:bookmarkStart w:id="1" w:name="_Toc29200565"/>
      <w:r>
        <w:rPr>
          <w:rFonts w:hint="eastAsia" w:ascii="宋体" w:hAnsi="宋体" w:eastAsia="宋体" w:cs="宋体"/>
          <w:sz w:val="32"/>
          <w:szCs w:val="32"/>
          <w:lang w:eastAsia="zh-CN"/>
        </w:rPr>
        <w:t>（一）</w:t>
      </w:r>
      <w:r>
        <w:rPr>
          <w:rFonts w:hint="eastAsia" w:ascii="宋体" w:hAnsi="宋体" w:eastAsia="宋体" w:cs="宋体"/>
          <w:sz w:val="32"/>
          <w:szCs w:val="32"/>
        </w:rPr>
        <w:t>总体绩效目标</w:t>
      </w:r>
      <w:bookmarkEnd w:id="1"/>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2020年市工信局认真贯彻落实中央经济工作会议精神及省、市决策部署，以全面提高工业发展的质量和效益为核心，加快传统产业改造升级，提升制造业核心竞争力；坚持创新驱动，融合发展，全力培育工业发展新动能；打造工业设计平台，全力推动工业设计产业发展； 进一步优化民营经济发展环境，大力发展民营经济。</w:t>
      </w:r>
    </w:p>
    <w:p>
      <w:pPr>
        <w:spacing w:line="560" w:lineRule="exact"/>
        <w:ind w:firstLine="640" w:firstLineChars="200"/>
        <w:jc w:val="left"/>
        <w:outlineLvl w:val="1"/>
        <w:rPr>
          <w:rFonts w:hint="eastAsia" w:ascii="宋体" w:hAnsi="宋体" w:eastAsia="宋体" w:cs="宋体"/>
          <w:sz w:val="32"/>
          <w:szCs w:val="32"/>
        </w:rPr>
      </w:pPr>
      <w:bookmarkStart w:id="2" w:name="_Toc29200566"/>
      <w:r>
        <w:rPr>
          <w:rFonts w:hint="eastAsia" w:ascii="宋体" w:hAnsi="宋体" w:eastAsia="宋体" w:cs="宋体"/>
          <w:sz w:val="32"/>
          <w:szCs w:val="32"/>
          <w:lang w:eastAsia="zh-CN"/>
        </w:rPr>
        <w:t>（二）</w:t>
      </w:r>
      <w:r>
        <w:rPr>
          <w:rFonts w:hint="eastAsia" w:ascii="宋体" w:hAnsi="宋体" w:eastAsia="宋体" w:cs="宋体"/>
          <w:sz w:val="32"/>
          <w:szCs w:val="32"/>
        </w:rPr>
        <w:t>分项绩效目标</w:t>
      </w:r>
      <w:bookmarkEnd w:id="2"/>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1、</w:t>
      </w:r>
      <w:r>
        <w:rPr>
          <w:rFonts w:hint="eastAsia" w:ascii="Times New Roman" w:hAnsi="方正仿宋_GBK" w:eastAsia="方正仿宋_GBK" w:cs="方正仿宋_GBK"/>
          <w:sz w:val="32"/>
          <w:szCs w:val="32"/>
        </w:rPr>
        <w:t>工业经济提质增效。严格落实工业运行“月通报、季调度”工作机制，加强重点县区、重点行业、重点企业、重点产品监测，加强与统计、电力等相关部门单位沟通衔接，实时关注关联指标情况，防止工业运行大起大落。保障重点企业生产要素供给，做好煤电油气运综合协调，全面推进电力直接交易。</w:t>
      </w:r>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2、</w:t>
      </w:r>
      <w:r>
        <w:rPr>
          <w:rFonts w:hint="eastAsia" w:ascii="Times New Roman" w:hAnsi="方正仿宋_GBK" w:eastAsia="方正仿宋_GBK" w:cs="方正仿宋_GBK"/>
          <w:sz w:val="32"/>
          <w:szCs w:val="32"/>
        </w:rPr>
        <w:t>工业投资和技改投资持续增长。谋划一批绿色制造、智能制造等产业关联度高、市场前景好的重大工业项目。形成储备一批、开工一批、在建一批、投产一批的良性循环体系。重点推进宏启胜高阶HDI印制电路板扩产项目、戴卡兴龙年产70万只高性能铝合金车轮项目等项目建设。</w:t>
      </w:r>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3、</w:t>
      </w:r>
      <w:r>
        <w:rPr>
          <w:rFonts w:hint="eastAsia" w:ascii="Times New Roman" w:hAnsi="方正仿宋_GBK" w:eastAsia="方正仿宋_GBK" w:cs="方正仿宋_GBK"/>
          <w:sz w:val="32"/>
          <w:szCs w:val="32"/>
        </w:rPr>
        <w:t>全力推动中小企业提档升级。不折不扣贯彻落实中央和省市关于民营经济发展的政策措施，促进中小企业提档升级。</w:t>
      </w:r>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4、</w:t>
      </w:r>
      <w:r>
        <w:rPr>
          <w:rFonts w:hint="eastAsia" w:ascii="Times New Roman" w:hAnsi="方正仿宋_GBK" w:eastAsia="方正仿宋_GBK" w:cs="方正仿宋_GBK"/>
          <w:sz w:val="32"/>
          <w:szCs w:val="32"/>
        </w:rPr>
        <w:t>强化新增长点培育。开展新增规模以上工业企业摸底筛选、培育和申报工作，确定培育企业名单，建立日常联系机制，强化新增长点培育监测，对列入重点培育的小微企业，每季度跟踪企业产值、主营业务收入等数据。完善激励机制，兑现新增规模以上工业企业奖励资金，促进“小转规”。</w:t>
      </w:r>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5、</w:t>
      </w:r>
      <w:r>
        <w:rPr>
          <w:rFonts w:hint="eastAsia" w:ascii="Times New Roman" w:hAnsi="方正仿宋_GBK" w:eastAsia="方正仿宋_GBK" w:cs="方正仿宋_GBK"/>
          <w:sz w:val="32"/>
          <w:szCs w:val="32"/>
        </w:rPr>
        <w:t>推进京津冀健康大数据试验区建设。印发《京津冀健康大数据试验区建设规划》，推进与国信优易、浪潮集团、东软软件、九次方等数据运营企业合作，实施一批京津冀健康大数据试验区建设项目，切实推进我市健康大数据产业发展。</w:t>
      </w:r>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6、</w:t>
      </w:r>
      <w:r>
        <w:rPr>
          <w:rFonts w:hint="eastAsia" w:ascii="Times New Roman" w:hAnsi="方正仿宋_GBK" w:eastAsia="方正仿宋_GBK" w:cs="方正仿宋_GBK"/>
          <w:sz w:val="32"/>
          <w:szCs w:val="32"/>
        </w:rPr>
        <w:t>全力推动工业设计产业发展。依托中瑞工业设计创新中心，进一步完善服务功能和管理机制，打造设计与产业对接交流平台和新技术、新材料、新工艺、新产品的展示交易空间。围绕中瑞设计港功能定位开展精准招商。引导园区入驻工业设计机构为制造业企业提供专业化设计服务，提升制造业设计创新水平。</w:t>
      </w:r>
    </w:p>
    <w:p>
      <w:pPr>
        <w:spacing w:line="560" w:lineRule="exact"/>
        <w:ind w:firstLine="640" w:firstLineChars="200"/>
        <w:jc w:val="left"/>
        <w:outlineLvl w:val="1"/>
        <w:rPr>
          <w:rFonts w:hint="eastAsia" w:ascii="Times New Roman" w:hAnsi="宋体" w:cs="宋体"/>
          <w:sz w:val="32"/>
          <w:szCs w:val="32"/>
        </w:rPr>
      </w:pPr>
      <w:bookmarkStart w:id="3" w:name="_Toc29200567"/>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工作保障措施</w:t>
      </w:r>
      <w:bookmarkEnd w:id="3"/>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1、</w:t>
      </w:r>
      <w:r>
        <w:rPr>
          <w:rFonts w:hint="eastAsia" w:ascii="Times New Roman" w:hAnsi="方正仿宋_GBK" w:eastAsia="方正仿宋_GBK" w:cs="方正仿宋_GBK"/>
          <w:sz w:val="32"/>
          <w:szCs w:val="32"/>
        </w:rPr>
        <w:t>一以贯之稳增长，全力抓好运行监测服务。一是强化责任。分解下达全年工业经济工作目标，加强县区工业经济运行调度，对县区主要工业指标完成情况进行排名。完善重点时段综合调度，年初组织抓好“开门红”，年中推动时间任务双过半，年底加强目标考核评价，确保完成全年目标任务。二是强化运行监测。严格落实工业运行“月通报、季调度”工作机制，加强重点县区、重点行业、重点企业、重点产品监测，加强与统计、电力等相关部门单位沟通衔接，实时关注关联指标情况，防止工业运行大起大落。保障重点企业生产要素供给，做好煤电油气运综合协调，全面推进电力直接交易。三是强化新增长点培育。开展新增规模以上工业企业摸底筛选、培育和申报工作，确定培育企业名单，建立日常联系机制，强化新增长点培育监测，对列入重点培育的小微企业，每季度跟踪企业产值、主营业务收入等数据。完善激励机制，兑现新增规模以上工业企业奖励资金，促进“小转规”。</w:t>
      </w:r>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2、</w:t>
      </w:r>
      <w:r>
        <w:rPr>
          <w:rFonts w:hint="eastAsia" w:ascii="Times New Roman" w:hAnsi="方正仿宋_GBK" w:eastAsia="方正仿宋_GBK" w:cs="方正仿宋_GBK"/>
          <w:sz w:val="32"/>
          <w:szCs w:val="32"/>
        </w:rPr>
        <w:t>持之以恒抓项目，全力推进工业技改项目建设。一是加强项目谋划。谋划一批绿色制造、智能制造等产业关联度高、市场前景好的重大工业项目。形成储备一批、开工一批、在建一批、投产一批的良性循环体系。重点推进宏启胜高阶HDI印制电路板扩产项目、戴卡兴龙年产70万只高性能铝合金车轮项目等项目建设。二是加大项目支持力度。下达百项重点技改项目计划，积极帮助企业争取国家、省政策资金支持，向战略性新兴产业项目倾斜。用足用好2000万元工业转型升级资金，推动重点行业、重点企业向智能化、绿色化、服务化方向转型。争取更多项目列入省千项技改计划，不断调整优化工业技改投资内部结构。三是强化项目跟踪调度。落实工业企业重点技术改造项目调度制度，实施“月分析、季调度、定期通报”制度，加强跟踪督导，及时协调解决问题，确保项目建设顺利推进。</w:t>
      </w:r>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3、</w:t>
      </w:r>
      <w:r>
        <w:rPr>
          <w:rFonts w:hint="eastAsia" w:ascii="Times New Roman" w:hAnsi="方正仿宋_GBK" w:eastAsia="方正仿宋_GBK" w:cs="方正仿宋_GBK"/>
          <w:sz w:val="32"/>
          <w:szCs w:val="32"/>
        </w:rPr>
        <w:t>高度重视信息产业发展，全力培育新动能。一是推进大智移云。贯彻落实秦皇岛市人民政府《关于加快 “大智移云”产业发展的实施意见》，按照市政府《关于加快 “大智移云”产业发展的实施意见》责任分解，协调有关部门，加快“大智移云”发展，适时开展督导评价。贯彻落实秦皇岛市大智移云、信息产业三年行动计划，做好新一代基础网络、云上秦皇岛、智能终端产品产业化、移动互联网应用推广、互联网+、网络信息产业载体培育、健康大数据产业发展、信息数据安全保障。二是推进京津冀健康大数据试验区建设。印发《京津冀健康大数据试验区建设规划》，推进与国信优易、浪潮集团、东软软件、九次方等数据运营企业合作，实施一批京津冀健康大数据试验区建设项目，切实推进我市健康大数据产业发展。三是深化产业全面融合。针对我市三产比重较大的特点，在加快推进信息化与工业化深度融合的基础上，着重推进信息化与一二三产全面融合，特别是与三产融合，打造高新技术服务产业，培育一批行业龙头企业和信息技术服务业公共服务平台。贯彻落实《关于推动互联网与先进制造业深度融合加快发展工业互联网的实施方案》，推动互联网与先进制造业深度融合。启动企业上云工程，重点推动基础设施上云、平台系统上云、业务应用上云、设备产品上云、制造能力上云，加快企业数字化转型，培育企业发展新动能。</w:t>
      </w:r>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4、</w:t>
      </w:r>
      <w:r>
        <w:rPr>
          <w:rFonts w:hint="eastAsia" w:ascii="Times New Roman" w:hAnsi="方正仿宋_GBK" w:eastAsia="方正仿宋_GBK" w:cs="方正仿宋_GBK"/>
          <w:sz w:val="32"/>
          <w:szCs w:val="32"/>
        </w:rPr>
        <w:t>打造工业设计平台，全力推动工业设计产业发展。一是完善中瑞设计港园区平台。依托中瑞工业设计创新中心，进一步完善服务功能和管理机制，打造设计与产业对接交流平台和新技术、新材料、新工艺、新产品的展示交易空间。围绕中瑞设计港功能定位开展精准招商。引导园区入驻工业设计机构为制造业企业提供专业化设计服务，提升制造业设计创新水平。二是打造工业设计典型案例。在前期筛选工业设计案例的基础上，加强跟踪服务、精准服务，着力打造工业设计典型案例，示范引领工业设计在各行业领域的植入，推进设计与产业对接融合。三是多形式开展工业设计活动。依托秦皇岛中瑞工业设计创新中心和燕山大学组织开展多形式、多层次的工业设计知识和政策培训、展览展示及对接会等活动，适时举办秦皇岛国际工业设计节、工业设计大赛。四是培育企业工业设计中心。引导有条件的制造业企业，加大工业设计投入，建设相对独立的工业设计中心，深化工业设计在企业战略、产品、服务等方面的应用，增强企业设计创新能力。</w:t>
      </w:r>
    </w:p>
    <w:p>
      <w:pPr>
        <w:spacing w:line="560" w:lineRule="exact"/>
        <w:ind w:firstLine="640" w:firstLineChars="200"/>
        <w:jc w:val="lef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lang w:val="en-US" w:eastAsia="zh-CN"/>
        </w:rPr>
        <w:t>5、</w:t>
      </w:r>
      <w:r>
        <w:rPr>
          <w:rFonts w:hint="eastAsia" w:ascii="Times New Roman" w:hAnsi="方正仿宋_GBK" w:eastAsia="方正仿宋_GBK" w:cs="方正仿宋_GBK"/>
          <w:sz w:val="32"/>
          <w:szCs w:val="32"/>
        </w:rPr>
        <w:t>全心全意抓服务，深入开展“双创双服”活动。一是开展重点工业企业精准服务。贯彻落实《重点工业企业精准服务专项实施方案》，着力开展十项精准服务，以服务促转型，以服务促发展，协调解决企业生产经营中的实际问题和困难。二是培育小微型创业创新基地。落实《小微型企业创业创新基地培育方案》，坚持扶持培育和示范带动并举，培育一批特色鲜明、服务高效、孵化力强的小微型企业创业创新基地。组织基地管理人员参加创业辅导师培训，依托小型微型创业创新基地，为入驻小微企业创业创新提供服务支撑。三是推进工业企业研发机构建设。按照“有人员、有场所、有设备、有经费、有项目”的要求，积极开展全市工业企业研发机构认定工作，鼓励企业开展新产品、新技术和新工艺研究开发，提高企业技术创新能力，推进产学研用合作，为企业转型升级、提质增效提供支撑。</w:t>
      </w:r>
    </w:p>
    <w:p>
      <w:pPr>
        <w:spacing w:line="560" w:lineRule="exact"/>
        <w:ind w:firstLine="640" w:firstLineChars="200"/>
        <w:jc w:val="left"/>
        <w:rPr>
          <w:rFonts w:hint="eastAsia" w:ascii="方正书宋_GBK" w:hAnsi="方正书宋_GBK" w:eastAsia="方正仿宋_GBK" w:cs="方正书宋_GBK"/>
          <w:sz w:val="32"/>
          <w:szCs w:val="32"/>
          <w:lang w:eastAsia="zh-CN"/>
        </w:rPr>
        <w:sectPr>
          <w:footerReference r:id="rId3" w:type="default"/>
          <w:pgSz w:w="11906" w:h="16838"/>
          <w:pgMar w:top="1701" w:right="1474" w:bottom="1588" w:left="1474" w:header="851" w:footer="1247" w:gutter="0"/>
          <w:cols w:space="720" w:num="1"/>
          <w:docGrid w:type="linesAndChars" w:linePitch="312" w:charSpace="0"/>
        </w:sectPr>
      </w:pPr>
      <w:r>
        <w:rPr>
          <w:rFonts w:hint="eastAsia" w:ascii="Times New Roman" w:hAnsi="方正仿宋_GBK" w:eastAsia="方正仿宋_GBK" w:cs="方正仿宋_GBK"/>
          <w:sz w:val="32"/>
          <w:szCs w:val="32"/>
          <w:lang w:val="en-US" w:eastAsia="zh-CN"/>
        </w:rPr>
        <w:t>6、</w:t>
      </w:r>
      <w:r>
        <w:rPr>
          <w:rFonts w:hint="eastAsia" w:ascii="Times New Roman" w:hAnsi="方正仿宋_GBK" w:eastAsia="方正仿宋_GBK" w:cs="方正仿宋_GBK"/>
          <w:sz w:val="32"/>
          <w:szCs w:val="32"/>
        </w:rPr>
        <w:t>坚定不移优环境，全力推动中小企业提档升级。一是加强政策支持。不折不扣贯彻落实中央和省市关于民营经济发展的政策措施，促进中小企业提档升级。二是破解融资难题。规范担保机构运作，防范和化解金融风险。筛选优质企业和项目向银行和担保机构推荐，搭建政银企保对接合作平台。强化企业上市培训和辅导，推进更多中小企业挂牌上市。三是加快服务平台网络建设。改造提升中小企业公共服务平台，加大服务覆盖范围，逐步建成“市平台—分平台”两级架构，实现中小企业跨部门政策信息发布，探索建立市平台入驻服务机构的跟踪测评与激励机制，为中小企业提供定单式服务。四是实施品牌和名牌战略。发挥企业主体作用，在“创”字上下功夫。引导和促进企业坚持把质量作为企业发展的生命线，牢固树立抓产品关键就是抓质量、抓质量必须抓名牌、抓名牌就是抓发展的理念，坚定不移地走名牌创建之路。加强指导协调服务，在“育”字上下功夫。以装备制造、电子信息、食品加工等重点产业为重点，加大对重点企业重点产品创名牌的培育力度，加强指导和服务，促进资本、资源、项目和政策向名牌企业名牌产品倾斜，推动质量标杆企业、技术创新示范企业、管理创新示范企业、“专精特新中小企业”、工业品牌培育等品牌创建工作，力争年内新增一批行业龙头企业和名牌产品</w:t>
      </w:r>
      <w:r>
        <w:rPr>
          <w:rFonts w:hint="eastAsia" w:ascii="Times New Roman" w:hAnsi="方正仿宋_GBK" w:eastAsia="方正仿宋_GBK" w:cs="方正仿宋_GBK"/>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ascii="Times New Roman" w:hAnsi="Times New Roman"/>
        <w:sz w:val="24"/>
      </w:rPr>
    </w:pPr>
    <w:r>
      <w:rPr>
        <w:rFonts w:ascii="Times New Roman" w:hAnsi="Times New Roman"/>
        <w:sz w:val="24"/>
      </w:rPr>
      <w:fldChar w:fldCharType="begin"/>
    </w:r>
    <w:r>
      <w:rPr>
        <w:rStyle w:val="4"/>
        <w:rFonts w:ascii="Times New Roman" w:hAnsi="Times New Roman"/>
        <w:sz w:val="24"/>
      </w:rPr>
      <w:instrText xml:space="preserve">PAGE  </w:instrText>
    </w:r>
    <w:r>
      <w:rPr>
        <w:rFonts w:ascii="Times New Roman" w:hAnsi="Times New Roman"/>
        <w:sz w:val="24"/>
      </w:rPr>
      <w:fldChar w:fldCharType="separate"/>
    </w:r>
    <w:r>
      <w:rPr>
        <w:rStyle w:val="4"/>
        <w:rFonts w:ascii="Times New Roman" w:hAnsi="Times New Roman"/>
        <w:sz w:val="24"/>
      </w:rPr>
      <w:t>252</w:t>
    </w:r>
    <w:r>
      <w:rPr>
        <w:rFonts w:ascii="Times New Roman" w:hAnsi="Times New Roman"/>
        <w:sz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571FA"/>
    <w:rsid w:val="12E710CB"/>
    <w:rsid w:val="73A5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2020-02-10T07:42:00Z</dcterms:created>
  <dc:creator>lenovo</dc:creator>
  <cp:lastModifiedBy>lenovo</cp:lastModifiedBy>
  <dcterms:modified xsi:type="dcterms:W3CDTF">2021-04-30T02:47:29Z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